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999" w:rsidRDefault="00320999">
      <w:pPr>
        <w:widowControl/>
        <w:jc w:val="both"/>
      </w:pPr>
      <w:bookmarkStart w:id="0" w:name="_GoBack"/>
      <w:bookmarkEnd w:id="0"/>
    </w:p>
    <w:p w:rsidR="00765D50" w:rsidRPr="009F2114" w:rsidRDefault="00EF7430" w:rsidP="00EF7430">
      <w:pPr>
        <w:spacing w:line="500" w:lineRule="exact"/>
        <w:jc w:val="center"/>
        <w:rPr>
          <w:rFonts w:ascii="Arial" w:eastAsia="標楷體" w:hAnsi="Arial" w:cs="Arial"/>
          <w:sz w:val="40"/>
          <w:szCs w:val="40"/>
        </w:rPr>
      </w:pPr>
      <w:r w:rsidRPr="009F2114">
        <w:rPr>
          <w:rFonts w:ascii="Arial" w:eastAsia="標楷體" w:hAnsi="Arial" w:cs="Arial" w:hint="eastAsia"/>
          <w:sz w:val="40"/>
          <w:szCs w:val="40"/>
        </w:rPr>
        <w:t>德明財經科技大學</w:t>
      </w:r>
    </w:p>
    <w:p w:rsidR="00320999" w:rsidRPr="009F2114" w:rsidRDefault="00EF7430" w:rsidP="00EF7430">
      <w:pPr>
        <w:spacing w:line="500" w:lineRule="exact"/>
        <w:jc w:val="center"/>
        <w:rPr>
          <w:rFonts w:ascii="Arial" w:eastAsia="標楷體" w:hAnsi="Arial" w:cs="Arial"/>
          <w:sz w:val="40"/>
          <w:szCs w:val="40"/>
        </w:rPr>
      </w:pPr>
      <w:r w:rsidRPr="009F2114">
        <w:rPr>
          <w:rFonts w:ascii="Arial" w:eastAsia="標楷體" w:hAnsi="Arial" w:cs="Arial" w:hint="eastAsia"/>
          <w:sz w:val="40"/>
          <w:szCs w:val="40"/>
        </w:rPr>
        <w:t>校外實習</w:t>
      </w:r>
      <w:r w:rsidR="00765D50" w:rsidRPr="009F2114">
        <w:rPr>
          <w:rFonts w:ascii="Arial" w:eastAsia="標楷體" w:hAnsi="Arial" w:cs="Arial" w:hint="eastAsia"/>
          <w:sz w:val="40"/>
          <w:szCs w:val="40"/>
        </w:rPr>
        <w:t>機構</w:t>
      </w:r>
      <w:r w:rsidR="00320999" w:rsidRPr="009F2114">
        <w:rPr>
          <w:rFonts w:ascii="Arial" w:eastAsia="標楷體" w:hAnsi="Arial" w:cs="Arial" w:hint="eastAsia"/>
          <w:sz w:val="40"/>
          <w:szCs w:val="40"/>
        </w:rPr>
        <w:t>基本資料表</w:t>
      </w:r>
    </w:p>
    <w:p w:rsidR="00320999" w:rsidRPr="005955F0" w:rsidRDefault="005955F0" w:rsidP="005955F0">
      <w:pPr>
        <w:pStyle w:val="a3"/>
        <w:spacing w:beforeLines="50" w:before="180" w:afterLines="50" w:after="180" w:line="240" w:lineRule="atLeast"/>
        <w:rPr>
          <w:rFonts w:eastAsia="標楷體" w:hAnsi="Arial"/>
          <w:bCs/>
          <w:sz w:val="20"/>
          <w:szCs w:val="20"/>
        </w:rPr>
      </w:pPr>
      <w:r w:rsidRPr="005955F0">
        <w:rPr>
          <w:rFonts w:ascii="新細明體" w:hAnsi="新細明體" w:hint="eastAsia"/>
          <w:bCs/>
          <w:sz w:val="20"/>
          <w:szCs w:val="20"/>
          <w:lang w:eastAsia="zh-HK"/>
        </w:rPr>
        <w:t>※</w:t>
      </w:r>
      <w:r w:rsidRPr="005955F0">
        <w:rPr>
          <w:rFonts w:ascii="新細明體" w:hAnsi="新細明體" w:hint="eastAsia"/>
          <w:bCs/>
          <w:sz w:val="20"/>
          <w:szCs w:val="20"/>
        </w:rPr>
        <w:t xml:space="preserve"> </w:t>
      </w:r>
      <w:r w:rsidRPr="005955F0">
        <w:rPr>
          <w:rFonts w:eastAsia="標楷體" w:hAnsi="Arial" w:hint="eastAsia"/>
          <w:bCs/>
          <w:sz w:val="20"/>
          <w:szCs w:val="20"/>
          <w:lang w:eastAsia="zh-HK"/>
        </w:rPr>
        <w:t>行業別附註</w:t>
      </w:r>
      <w:r w:rsidRPr="005955F0">
        <w:rPr>
          <w:rFonts w:eastAsia="標楷體" w:hAnsi="Arial" w:hint="eastAsia"/>
          <w:bCs/>
          <w:sz w:val="20"/>
          <w:szCs w:val="20"/>
        </w:rPr>
        <w:t>：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5"/>
        <w:gridCol w:w="2710"/>
        <w:gridCol w:w="6851"/>
      </w:tblGrid>
      <w:tr w:rsidR="005955F0" w:rsidRPr="005955F0" w:rsidTr="005955F0">
        <w:trPr>
          <w:trHeight w:val="340"/>
        </w:trPr>
        <w:tc>
          <w:tcPr>
            <w:tcW w:w="1460" w:type="dxa"/>
            <w:shd w:val="clear" w:color="auto" w:fill="DEEAF6" w:themeFill="accent1" w:themeFillTint="33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代碼</w:t>
            </w:r>
          </w:p>
        </w:tc>
        <w:tc>
          <w:tcPr>
            <w:tcW w:w="4780" w:type="dxa"/>
            <w:shd w:val="clear" w:color="auto" w:fill="DEEAF6" w:themeFill="accent1" w:themeFillTint="33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行業別</w:t>
            </w:r>
          </w:p>
        </w:tc>
        <w:tc>
          <w:tcPr>
            <w:tcW w:w="12360" w:type="dxa"/>
            <w:shd w:val="clear" w:color="auto" w:fill="DEEAF6" w:themeFill="accent1" w:themeFillTint="33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行業別定義</w:t>
            </w:r>
          </w:p>
        </w:tc>
      </w:tr>
      <w:tr w:rsidR="005955F0" w:rsidRPr="005955F0" w:rsidTr="005955F0">
        <w:trPr>
          <w:trHeight w:val="34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A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農、林、漁、牧業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從事農作物栽培、畜牧、農事及畜牧服務、造林、伐木及採集、漁撈及水產養殖等之行業等。</w:t>
            </w:r>
          </w:p>
        </w:tc>
      </w:tr>
      <w:tr w:rsidR="005955F0" w:rsidRPr="005955F0" w:rsidTr="005955F0">
        <w:trPr>
          <w:trHeight w:val="34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B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礦業及土石採取業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ind w:firstLineChars="100" w:firstLine="200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石油及天然氣、砂、石及黏土、其他礦業及土石採取業等。</w:t>
            </w:r>
          </w:p>
        </w:tc>
      </w:tr>
      <w:tr w:rsidR="005955F0" w:rsidRPr="005955F0" w:rsidTr="005955F0">
        <w:trPr>
          <w:trHeight w:val="102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C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製造業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半導體、影像顯示、生技醫藥、智慧手持裝置與通訊設備、食品製造、紡織、紙業及印刷業、石油、化學材料及製品業、非金屬製品業、金屬工業、機械設備業、電子零組件、電力設備製造業、汽車及其零件製造業、其他運輸工具製造業、產業用機械設備維修及安裝業、其他製造業等。</w:t>
            </w:r>
          </w:p>
        </w:tc>
      </w:tr>
      <w:tr w:rsidR="005955F0" w:rsidRPr="005955F0" w:rsidTr="005955F0">
        <w:trPr>
          <w:trHeight w:val="34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D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電力及燃氣供應業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從事電力、氣體燃料及蒸汽供應之行業等。</w:t>
            </w:r>
          </w:p>
        </w:tc>
      </w:tr>
      <w:tr w:rsidR="005955F0" w:rsidRPr="005955F0" w:rsidTr="005955F0">
        <w:trPr>
          <w:trHeight w:val="34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E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用水供應及污染整治業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用水供應業、廢（污）水處理、廢棄物清除、處理及資源回收業等。</w:t>
            </w:r>
          </w:p>
        </w:tc>
      </w:tr>
      <w:tr w:rsidR="005955F0" w:rsidRPr="005955F0" w:rsidTr="005955F0">
        <w:trPr>
          <w:trHeight w:val="34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F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營建工程業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建築工程、土木工程、專門營造等。</w:t>
            </w:r>
          </w:p>
        </w:tc>
      </w:tr>
      <w:tr w:rsidR="005955F0" w:rsidRPr="005955F0" w:rsidTr="005955F0">
        <w:trPr>
          <w:trHeight w:val="68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G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批發及零售業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從事有形商品之批發、零售、經紀及代理之行業；銷售商品所附帶不改變商品本質之簡單處理，如包裝、清洗、分級、</w:t>
            </w:r>
            <w:proofErr w:type="gramStart"/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摻混</w:t>
            </w:r>
            <w:proofErr w:type="gramEnd"/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、運送、安裝、修理等亦</w:t>
            </w:r>
            <w:proofErr w:type="gramStart"/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歸入本</w:t>
            </w:r>
            <w:proofErr w:type="gramEnd"/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類。</w:t>
            </w:r>
          </w:p>
        </w:tc>
      </w:tr>
      <w:tr w:rsidR="005955F0" w:rsidRPr="005955F0" w:rsidTr="005955F0">
        <w:trPr>
          <w:trHeight w:val="34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H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運輸及倉儲業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海陸空運輸、郵政及快遞、倉儲等。</w:t>
            </w:r>
          </w:p>
        </w:tc>
      </w:tr>
      <w:tr w:rsidR="005955F0" w:rsidRPr="005955F0" w:rsidTr="005955F0">
        <w:trPr>
          <w:trHeight w:val="34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I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住宿及餐飲業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從事短期或臨時性住宿服務及餐飲服務之行業等。</w:t>
            </w:r>
          </w:p>
        </w:tc>
      </w:tr>
      <w:tr w:rsidR="005955F0" w:rsidRPr="005955F0" w:rsidTr="005955F0">
        <w:trPr>
          <w:trHeight w:val="68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J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出版、影音製作、傳播及資通訊服務業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包含數位遊戲、電腦動畫、行動應用服務、數位影音、數位學習、數位出版典藏、出版、影片服務、聲音錄製及音樂出版、傳播及節目播送、電信服務、電腦系統設計服務、資料處理及資訊供應服務。</w:t>
            </w:r>
          </w:p>
        </w:tc>
      </w:tr>
      <w:tr w:rsidR="005955F0" w:rsidRPr="005955F0" w:rsidTr="005955F0">
        <w:trPr>
          <w:trHeight w:val="34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K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金融及保險業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金融仲介、保險、證券期貨及其他金融業等。</w:t>
            </w:r>
          </w:p>
        </w:tc>
      </w:tr>
      <w:tr w:rsidR="005955F0" w:rsidRPr="005955F0" w:rsidTr="005955F0">
        <w:trPr>
          <w:trHeight w:val="34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L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不動產業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不動產開發、都市更新、不動產經營及相關服務等。</w:t>
            </w:r>
          </w:p>
        </w:tc>
      </w:tr>
      <w:tr w:rsidR="005955F0" w:rsidRPr="005955F0" w:rsidTr="005955F0">
        <w:trPr>
          <w:trHeight w:val="68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M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專業、科學及技術服務業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法律、會計、企業總管理機構及管理顧問、建築、工程服務及技術檢測、分析服務、能源技術服務、研究發展、廣告及市場研究、專門設計、獸醫、攝影、翻譯、藝人及模特兒等。</w:t>
            </w:r>
          </w:p>
        </w:tc>
      </w:tr>
      <w:tr w:rsidR="005955F0" w:rsidRPr="005955F0" w:rsidTr="005955F0">
        <w:trPr>
          <w:trHeight w:val="34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N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支援服務業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租賃業、就業服務業、旅行業、保全及私家偵探、建築物及綠化服務、會議展覽服務、業務及辦公室支援服務等。</w:t>
            </w:r>
          </w:p>
        </w:tc>
      </w:tr>
      <w:tr w:rsidR="005955F0" w:rsidRPr="005955F0" w:rsidTr="005955F0">
        <w:trPr>
          <w:trHeight w:val="34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O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公共行政及國防、強制性社會安全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公共行政業、國防事務、強制性社會安全、國際組織及外國機構等。</w:t>
            </w:r>
          </w:p>
        </w:tc>
      </w:tr>
      <w:tr w:rsidR="005955F0" w:rsidRPr="005955F0" w:rsidTr="005955F0">
        <w:trPr>
          <w:trHeight w:val="34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P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教育業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學前、小學、中學、大專校院、特殊教育、外語教育、藝術教育、運動及休閒教育商業、資訊及專業管理教育等。</w:t>
            </w:r>
          </w:p>
        </w:tc>
      </w:tr>
      <w:tr w:rsidR="005955F0" w:rsidRPr="005955F0" w:rsidTr="005955F0">
        <w:trPr>
          <w:trHeight w:val="34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Q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醫療保健及社會工作服務業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醫療保健服務、居住照顧服務、其他社會工作服務等。</w:t>
            </w:r>
          </w:p>
        </w:tc>
      </w:tr>
      <w:tr w:rsidR="005955F0" w:rsidRPr="005955F0" w:rsidTr="005955F0">
        <w:trPr>
          <w:trHeight w:val="34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R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藝術、娛樂及休閒服務業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創作及藝術表演、圖書館、檔案保存、博物館及類似機構、博弈業、運動、娛樂及休閒服務等。</w:t>
            </w:r>
          </w:p>
        </w:tc>
      </w:tr>
      <w:tr w:rsidR="005955F0" w:rsidRPr="005955F0" w:rsidTr="005955F0">
        <w:trPr>
          <w:trHeight w:val="340"/>
        </w:trPr>
        <w:tc>
          <w:tcPr>
            <w:tcW w:w="146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center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S</w:t>
            </w:r>
          </w:p>
        </w:tc>
        <w:tc>
          <w:tcPr>
            <w:tcW w:w="4780" w:type="dxa"/>
            <w:noWrap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其他服務業</w:t>
            </w:r>
          </w:p>
        </w:tc>
        <w:tc>
          <w:tcPr>
            <w:tcW w:w="12360" w:type="dxa"/>
            <w:vAlign w:val="center"/>
            <w:hideMark/>
          </w:tcPr>
          <w:p w:rsidR="005955F0" w:rsidRPr="005955F0" w:rsidRDefault="005955F0" w:rsidP="005955F0">
            <w:pPr>
              <w:pStyle w:val="a3"/>
              <w:spacing w:after="0" w:line="0" w:lineRule="atLeast"/>
              <w:jc w:val="both"/>
              <w:rPr>
                <w:rFonts w:eastAsia="標楷體" w:hAnsi="Arial"/>
                <w:bCs/>
                <w:sz w:val="20"/>
                <w:szCs w:val="20"/>
              </w:rPr>
            </w:pPr>
            <w:r w:rsidRPr="005955F0">
              <w:rPr>
                <w:rFonts w:eastAsia="標楷體" w:hAnsi="Arial" w:hint="eastAsia"/>
                <w:bCs/>
                <w:sz w:val="20"/>
                <w:szCs w:val="20"/>
              </w:rPr>
              <w:t>工商業團體、宗教、職業及類似組織、個人及家庭用品維修、洗衣、理容、殯葬、家事等。</w:t>
            </w:r>
          </w:p>
        </w:tc>
      </w:tr>
    </w:tbl>
    <w:p w:rsidR="005955F0" w:rsidRPr="005955F0" w:rsidRDefault="005955F0" w:rsidP="009F3A54">
      <w:pPr>
        <w:pStyle w:val="a3"/>
        <w:spacing w:after="0" w:line="380" w:lineRule="exact"/>
        <w:ind w:firstLineChars="100" w:firstLine="200"/>
        <w:rPr>
          <w:rFonts w:eastAsia="標楷體" w:hAnsi="Arial"/>
          <w:bCs/>
          <w:sz w:val="20"/>
          <w:szCs w:val="20"/>
        </w:rPr>
      </w:pPr>
    </w:p>
    <w:sectPr w:rsidR="005955F0" w:rsidRPr="005955F0" w:rsidSect="00BA127C"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E9D" w:rsidRDefault="00AB1E9D">
      <w:r>
        <w:separator/>
      </w:r>
    </w:p>
  </w:endnote>
  <w:endnote w:type="continuationSeparator" w:id="0">
    <w:p w:rsidR="00AB1E9D" w:rsidRDefault="00AB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E9D" w:rsidRDefault="00AB1E9D">
      <w:r>
        <w:separator/>
      </w:r>
    </w:p>
  </w:footnote>
  <w:footnote w:type="continuationSeparator" w:id="0">
    <w:p w:rsidR="00AB1E9D" w:rsidRDefault="00AB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A7B"/>
    <w:multiLevelType w:val="hybridMultilevel"/>
    <w:tmpl w:val="D602A08E"/>
    <w:lvl w:ilvl="0" w:tplc="ED1AC4A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D12FB"/>
    <w:multiLevelType w:val="hybridMultilevel"/>
    <w:tmpl w:val="A0F8B81C"/>
    <w:lvl w:ilvl="0" w:tplc="ABA42C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1273A3"/>
    <w:multiLevelType w:val="hybridMultilevel"/>
    <w:tmpl w:val="654C9B62"/>
    <w:lvl w:ilvl="0" w:tplc="83027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DE808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A122C1"/>
    <w:multiLevelType w:val="hybridMultilevel"/>
    <w:tmpl w:val="CFFC8360"/>
    <w:lvl w:ilvl="0" w:tplc="81B47EF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260FC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lang w:val="en-US"/>
      </w:rPr>
    </w:lvl>
    <w:lvl w:ilvl="2" w:tplc="DE68F8B4">
      <w:start w:val="1"/>
      <w:numFmt w:val="decimal"/>
      <w:lvlText w:val="%3."/>
      <w:lvlJc w:val="left"/>
      <w:pPr>
        <w:tabs>
          <w:tab w:val="num" w:pos="1335"/>
        </w:tabs>
        <w:ind w:left="1335" w:hanging="375"/>
      </w:pPr>
      <w:rPr>
        <w:rFonts w:hint="eastAsia"/>
        <w:color w:val="000000"/>
      </w:rPr>
    </w:lvl>
    <w:lvl w:ilvl="3" w:tplc="E2940E60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b w:val="0"/>
        <w:color w:val="auto"/>
      </w:rPr>
    </w:lvl>
    <w:lvl w:ilvl="4" w:tplc="08BEBED2">
      <w:start w:val="1"/>
      <w:numFmt w:val="decimal"/>
      <w:lvlText w:val="%5、"/>
      <w:lvlJc w:val="left"/>
      <w:pPr>
        <w:ind w:left="2385" w:hanging="465"/>
      </w:pPr>
      <w:rPr>
        <w:rFonts w:ascii="Times New Roman" w:hAnsi="Times New Roman" w:cs="Times New Roman" w:hint="default"/>
      </w:rPr>
    </w:lvl>
    <w:lvl w:ilvl="5" w:tplc="954C1F2C">
      <w:numFmt w:val="bullet"/>
      <w:lvlText w:val="□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Arial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CB54F9"/>
    <w:multiLevelType w:val="hybridMultilevel"/>
    <w:tmpl w:val="942CE736"/>
    <w:lvl w:ilvl="0" w:tplc="803056E8">
      <w:start w:val="2"/>
      <w:numFmt w:val="upperLetter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E0D61"/>
    <w:multiLevelType w:val="hybridMultilevel"/>
    <w:tmpl w:val="0D908FF4"/>
    <w:lvl w:ilvl="0" w:tplc="6D04BEDE">
      <w:start w:val="1"/>
      <w:numFmt w:val="taiwaneseCountingThousand"/>
      <w:lvlText w:val="(%1)"/>
      <w:lvlJc w:val="left"/>
      <w:pPr>
        <w:tabs>
          <w:tab w:val="num" w:pos="2730"/>
        </w:tabs>
        <w:ind w:left="2730" w:hanging="11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245607"/>
    <w:multiLevelType w:val="hybridMultilevel"/>
    <w:tmpl w:val="0542F928"/>
    <w:lvl w:ilvl="0" w:tplc="6D04BEDE">
      <w:start w:val="1"/>
      <w:numFmt w:val="taiwaneseCountingThousand"/>
      <w:lvlText w:val="(%1)"/>
      <w:lvlJc w:val="left"/>
      <w:pPr>
        <w:tabs>
          <w:tab w:val="num" w:pos="2730"/>
        </w:tabs>
        <w:ind w:left="2730" w:hanging="11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D4750E"/>
    <w:multiLevelType w:val="hybridMultilevel"/>
    <w:tmpl w:val="EE689DD0"/>
    <w:lvl w:ilvl="0" w:tplc="F7260FC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EA765F"/>
    <w:multiLevelType w:val="hybridMultilevel"/>
    <w:tmpl w:val="4FC21A68"/>
    <w:lvl w:ilvl="0" w:tplc="5DDEA2E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Arial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9A1FF4"/>
    <w:multiLevelType w:val="hybridMultilevel"/>
    <w:tmpl w:val="77B613D6"/>
    <w:lvl w:ilvl="0" w:tplc="1144A58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5C717F5"/>
    <w:multiLevelType w:val="hybridMultilevel"/>
    <w:tmpl w:val="8572FF36"/>
    <w:lvl w:ilvl="0" w:tplc="F65474C8">
      <w:start w:val="1"/>
      <w:numFmt w:val="taiwaneseCountingThousand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6421B72"/>
    <w:multiLevelType w:val="hybridMultilevel"/>
    <w:tmpl w:val="52748200"/>
    <w:lvl w:ilvl="0" w:tplc="6DF6D454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 w15:restartNumberingAfterBreak="0">
    <w:nsid w:val="55933A07"/>
    <w:multiLevelType w:val="hybridMultilevel"/>
    <w:tmpl w:val="2CA07B02"/>
    <w:lvl w:ilvl="0" w:tplc="4598297E">
      <w:start w:val="1"/>
      <w:numFmt w:val="taiwaneseCountingThousand"/>
      <w:lvlText w:val="%1、"/>
      <w:lvlJc w:val="left"/>
      <w:pPr>
        <w:tabs>
          <w:tab w:val="num" w:pos="1840"/>
        </w:tabs>
        <w:ind w:left="1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3" w15:restartNumberingAfterBreak="0">
    <w:nsid w:val="56A53B17"/>
    <w:multiLevelType w:val="hybridMultilevel"/>
    <w:tmpl w:val="D8222CEC"/>
    <w:lvl w:ilvl="0" w:tplc="D3FE3990">
      <w:start w:val="2"/>
      <w:numFmt w:val="upperLetter"/>
      <w:suff w:val="space"/>
      <w:lvlText w:val="%1-"/>
      <w:lvlJc w:val="left"/>
      <w:pPr>
        <w:ind w:left="195" w:hanging="1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85168D9"/>
    <w:multiLevelType w:val="hybridMultilevel"/>
    <w:tmpl w:val="3DC2AF3E"/>
    <w:lvl w:ilvl="0" w:tplc="4598297E">
      <w:start w:val="1"/>
      <w:numFmt w:val="taiwaneseCountingThousand"/>
      <w:lvlText w:val="%1、"/>
      <w:lvlJc w:val="left"/>
      <w:pPr>
        <w:tabs>
          <w:tab w:val="num" w:pos="1840"/>
        </w:tabs>
        <w:ind w:left="1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A3A33EE"/>
    <w:multiLevelType w:val="hybridMultilevel"/>
    <w:tmpl w:val="82C429A6"/>
    <w:lvl w:ilvl="0" w:tplc="4598297E">
      <w:start w:val="1"/>
      <w:numFmt w:val="taiwaneseCountingThousand"/>
      <w:lvlText w:val="%1、"/>
      <w:lvlJc w:val="left"/>
      <w:pPr>
        <w:tabs>
          <w:tab w:val="num" w:pos="1840"/>
        </w:tabs>
        <w:ind w:left="1840" w:hanging="720"/>
      </w:pPr>
      <w:rPr>
        <w:rFonts w:hint="eastAsia"/>
      </w:rPr>
    </w:lvl>
    <w:lvl w:ilvl="1" w:tplc="1FF8C06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D611CC6"/>
    <w:multiLevelType w:val="multilevel"/>
    <w:tmpl w:val="4B3A678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335"/>
        </w:tabs>
        <w:ind w:left="1335" w:hanging="375"/>
      </w:pPr>
      <w:rPr>
        <w:rFonts w:hint="eastAsia"/>
        <w:color w:val="000000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b w:val="0"/>
      </w:rPr>
    </w:lvl>
    <w:lvl w:ilvl="4">
      <w:start w:val="1"/>
      <w:numFmt w:val="decimal"/>
      <w:lvlText w:val="%5、"/>
      <w:lvlJc w:val="left"/>
      <w:pPr>
        <w:ind w:left="2385" w:hanging="465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1E961B3"/>
    <w:multiLevelType w:val="hybridMultilevel"/>
    <w:tmpl w:val="1CF657B8"/>
    <w:lvl w:ilvl="0" w:tplc="E42861C2">
      <w:start w:val="1"/>
      <w:numFmt w:val="taiwaneseCountingThousand"/>
      <w:lvlText w:val="%1、"/>
      <w:lvlJc w:val="left"/>
      <w:pPr>
        <w:ind w:left="102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F925F9"/>
    <w:multiLevelType w:val="hybridMultilevel"/>
    <w:tmpl w:val="EDFECE82"/>
    <w:lvl w:ilvl="0" w:tplc="CBC287D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3D21CBB"/>
    <w:multiLevelType w:val="hybridMultilevel"/>
    <w:tmpl w:val="F68E36F0"/>
    <w:lvl w:ilvl="0" w:tplc="D56E9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77B68B8"/>
    <w:multiLevelType w:val="hybridMultilevel"/>
    <w:tmpl w:val="50F08B02"/>
    <w:lvl w:ilvl="0" w:tplc="C99E6716">
      <w:start w:val="1"/>
      <w:numFmt w:val="taiwaneseCountingThousand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6D04BEDE">
      <w:start w:val="1"/>
      <w:numFmt w:val="taiwaneseCountingThousand"/>
      <w:lvlText w:val="(%2)"/>
      <w:lvlJc w:val="left"/>
      <w:pPr>
        <w:tabs>
          <w:tab w:val="num" w:pos="2730"/>
        </w:tabs>
        <w:ind w:left="2730" w:hanging="11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1"/>
  </w:num>
  <w:num w:numId="5">
    <w:abstractNumId w:val="0"/>
  </w:num>
  <w:num w:numId="6">
    <w:abstractNumId w:val="8"/>
  </w:num>
  <w:num w:numId="7">
    <w:abstractNumId w:val="17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12"/>
  </w:num>
  <w:num w:numId="13">
    <w:abstractNumId w:val="20"/>
  </w:num>
  <w:num w:numId="14">
    <w:abstractNumId w:val="15"/>
  </w:num>
  <w:num w:numId="15">
    <w:abstractNumId w:val="5"/>
  </w:num>
  <w:num w:numId="16">
    <w:abstractNumId w:val="6"/>
  </w:num>
  <w:num w:numId="17">
    <w:abstractNumId w:val="16"/>
  </w:num>
  <w:num w:numId="18">
    <w:abstractNumId w:val="7"/>
  </w:num>
  <w:num w:numId="19">
    <w:abstractNumId w:val="14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99"/>
    <w:rsid w:val="00023269"/>
    <w:rsid w:val="001D139B"/>
    <w:rsid w:val="002B41A3"/>
    <w:rsid w:val="00320999"/>
    <w:rsid w:val="00330D6B"/>
    <w:rsid w:val="0035533A"/>
    <w:rsid w:val="003B4AA7"/>
    <w:rsid w:val="005955F0"/>
    <w:rsid w:val="005F6C2E"/>
    <w:rsid w:val="00616C08"/>
    <w:rsid w:val="00636659"/>
    <w:rsid w:val="006842F5"/>
    <w:rsid w:val="006B15FF"/>
    <w:rsid w:val="00731043"/>
    <w:rsid w:val="00765D50"/>
    <w:rsid w:val="007F11D3"/>
    <w:rsid w:val="00877504"/>
    <w:rsid w:val="00964718"/>
    <w:rsid w:val="009D239F"/>
    <w:rsid w:val="009F2114"/>
    <w:rsid w:val="009F3A54"/>
    <w:rsid w:val="00A307B7"/>
    <w:rsid w:val="00A46AD1"/>
    <w:rsid w:val="00A50A9F"/>
    <w:rsid w:val="00AB1E9D"/>
    <w:rsid w:val="00B60F80"/>
    <w:rsid w:val="00BA127C"/>
    <w:rsid w:val="00BC40EB"/>
    <w:rsid w:val="00BD5217"/>
    <w:rsid w:val="00C94953"/>
    <w:rsid w:val="00D3417B"/>
    <w:rsid w:val="00DC506F"/>
    <w:rsid w:val="00E31C76"/>
    <w:rsid w:val="00E956DA"/>
    <w:rsid w:val="00E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7ED0F4-B999-437E-8FE4-038EAE1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character" w:customStyle="1" w:styleId="a4">
    <w:name w:val="本文 字元"/>
    <w:rPr>
      <w:rFonts w:ascii="Times New Roman" w:eastAsia="新細明體" w:hAnsi="Times New Roman" w:cs="Times New Roman"/>
      <w:szCs w:val="24"/>
    </w:rPr>
  </w:style>
  <w:style w:type="paragraph" w:styleId="a5">
    <w:name w:val="Body Text Indent"/>
    <w:basedOn w:val="a"/>
    <w:unhideWhenUsed/>
    <w:pPr>
      <w:spacing w:after="120"/>
      <w:ind w:leftChars="200" w:left="480"/>
    </w:pPr>
  </w:style>
  <w:style w:type="character" w:customStyle="1" w:styleId="a6">
    <w:name w:val="本文縮排 字元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qFormat/>
    <w:pPr>
      <w:ind w:leftChars="200" w:left="480"/>
    </w:pPr>
  </w:style>
  <w:style w:type="character" w:customStyle="1" w:styleId="10">
    <w:name w:val="標題 1 字元"/>
    <w:rPr>
      <w:rFonts w:ascii="Arial" w:hAnsi="Arial"/>
      <w:b/>
      <w:bCs/>
      <w:kern w:val="52"/>
      <w:sz w:val="52"/>
      <w:szCs w:val="52"/>
    </w:rPr>
  </w:style>
  <w:style w:type="paragraph" w:styleId="aa">
    <w:name w:val="annotation text"/>
    <w:basedOn w:val="a"/>
    <w:semiHidden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character" w:customStyle="1" w:styleId="ab">
    <w:name w:val="註解文字 字元"/>
    <w:semiHidden/>
    <w:rPr>
      <w:rFonts w:ascii="細明體" w:eastAsia="細明體" w:hAnsi="Times New Roman"/>
      <w:sz w:val="24"/>
    </w:rPr>
  </w:style>
  <w:style w:type="paragraph" w:styleId="ac">
    <w:name w:val="Block Text"/>
    <w:basedOn w:val="a"/>
    <w:pPr>
      <w:widowControl/>
      <w:spacing w:line="240" w:lineRule="exact"/>
      <w:ind w:left="567" w:right="57" w:hanging="454"/>
    </w:pPr>
    <w:rPr>
      <w:rFonts w:ascii="標楷體" w:eastAsia="標楷體"/>
      <w:szCs w:val="20"/>
    </w:rPr>
  </w:style>
  <w:style w:type="character" w:styleId="ad">
    <w:name w:val="Hyperlink"/>
    <w:rPr>
      <w:color w:val="0000FF"/>
      <w:u w:val="single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rPr>
      <w:rFonts w:ascii="Times New Roman" w:hAnsi="Times New Roman"/>
      <w:kern w:val="2"/>
    </w:rPr>
  </w:style>
  <w:style w:type="character" w:styleId="af0">
    <w:name w:val="page number"/>
    <w:basedOn w:val="a0"/>
  </w:style>
  <w:style w:type="paragraph" w:styleId="af1">
    <w:name w:val="Date"/>
    <w:basedOn w:val="a"/>
    <w:next w:val="a"/>
    <w:pPr>
      <w:jc w:val="right"/>
    </w:pPr>
    <w:rPr>
      <w:rFonts w:eastAsia="標楷體"/>
      <w:b/>
      <w:bCs/>
      <w:sz w:val="28"/>
    </w:rPr>
  </w:style>
  <w:style w:type="character" w:customStyle="1" w:styleId="af2">
    <w:name w:val="日期 字元"/>
    <w:rPr>
      <w:rFonts w:ascii="Times New Roman" w:eastAsia="標楷體" w:hAnsi="Times New Roman"/>
      <w:b/>
      <w:bCs/>
      <w:kern w:val="2"/>
      <w:sz w:val="28"/>
      <w:szCs w:val="24"/>
    </w:rPr>
  </w:style>
  <w:style w:type="paragraph" w:customStyle="1" w:styleId="11">
    <w:name w:val="樣式1"/>
    <w:basedOn w:val="a"/>
    <w:qFormat/>
    <w:pPr>
      <w:ind w:rightChars="300" w:right="720"/>
      <w:jc w:val="distribute"/>
    </w:pPr>
    <w:rPr>
      <w:rFonts w:eastAsia="標楷體" w:hAnsi="Arial"/>
      <w:sz w:val="28"/>
    </w:rPr>
  </w:style>
  <w:style w:type="character" w:customStyle="1" w:styleId="2">
    <w:name w:val="字元 字元2"/>
    <w:semiHidden/>
    <w:rPr>
      <w:rFonts w:eastAsia="新細明體"/>
      <w:kern w:val="2"/>
      <w:lang w:val="en-US" w:eastAsia="zh-TW" w:bidi="ar-SA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customStyle="1" w:styleId="12">
    <w:name w:val="問候1"/>
    <w:basedOn w:val="a"/>
    <w:next w:val="a"/>
    <w:pPr>
      <w:adjustRightInd w:val="0"/>
      <w:textAlignment w:val="baseline"/>
    </w:pPr>
    <w:rPr>
      <w:rFonts w:ascii="標楷體" w:eastAsia="標楷體"/>
      <w:sz w:val="28"/>
      <w:szCs w:val="20"/>
    </w:rPr>
  </w:style>
  <w:style w:type="character" w:styleId="af3">
    <w:name w:val="FollowedHyperlink"/>
    <w:rPr>
      <w:color w:val="800080"/>
      <w:u w:val="single"/>
    </w:rPr>
  </w:style>
  <w:style w:type="paragraph" w:styleId="3">
    <w:name w:val="Body Text Indent 3"/>
    <w:basedOn w:val="a"/>
    <w:pPr>
      <w:adjustRightInd w:val="0"/>
      <w:spacing w:line="400" w:lineRule="exact"/>
      <w:ind w:left="1123"/>
      <w:textAlignment w:val="baseline"/>
    </w:pPr>
    <w:rPr>
      <w:rFonts w:ascii="標楷體" w:eastAsia="標楷體"/>
      <w:sz w:val="28"/>
    </w:rPr>
  </w:style>
  <w:style w:type="table" w:styleId="af4">
    <w:name w:val="Table Grid"/>
    <w:basedOn w:val="a1"/>
    <w:rsid w:val="0059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Acer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德明財經科技大學校外實習合作廠商基本資料表</dc:title>
  <dc:subject/>
  <dc:creator>ccchang</dc:creator>
  <cp:keywords/>
  <dc:description/>
  <cp:lastModifiedBy>何慧真 [huizhen]</cp:lastModifiedBy>
  <cp:revision>2</cp:revision>
  <cp:lastPrinted>2008-10-16T00:31:00Z</cp:lastPrinted>
  <dcterms:created xsi:type="dcterms:W3CDTF">2023-05-02T08:48:00Z</dcterms:created>
  <dcterms:modified xsi:type="dcterms:W3CDTF">2023-05-02T08:48:00Z</dcterms:modified>
</cp:coreProperties>
</file>